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8B34" w14:textId="2BF7AA28" w:rsidR="0054369A" w:rsidRPr="0054369A" w:rsidRDefault="00402F94" w:rsidP="0054369A">
      <w:pPr>
        <w:rPr>
          <w:rFonts w:ascii="Arial" w:hAnsi="Arial"/>
          <w:sz w:val="22"/>
          <w:highlight w:val="lightGray"/>
        </w:rPr>
      </w:pPr>
      <w:r>
        <w:rPr>
          <w:rFonts w:ascii="Arial" w:hAnsi="Arial"/>
          <w:sz w:val="22"/>
          <w:highlight w:val="lightGray"/>
        </w:rPr>
        <w:t>April 23</w:t>
      </w:r>
      <w:r w:rsidR="0054369A" w:rsidRPr="0054369A">
        <w:rPr>
          <w:rFonts w:ascii="Arial" w:hAnsi="Arial"/>
          <w:sz w:val="22"/>
          <w:highlight w:val="lightGray"/>
        </w:rPr>
        <w:t>, 2019</w:t>
      </w:r>
    </w:p>
    <w:p w14:paraId="52461B69" w14:textId="77777777" w:rsidR="0054369A" w:rsidRPr="0054369A" w:rsidRDefault="0054369A" w:rsidP="0054369A">
      <w:pPr>
        <w:rPr>
          <w:rFonts w:ascii="Arial" w:hAnsi="Arial"/>
          <w:sz w:val="22"/>
          <w:highlight w:val="lightGray"/>
        </w:rPr>
      </w:pPr>
    </w:p>
    <w:p w14:paraId="66967CF5" w14:textId="77777777" w:rsidR="0054369A" w:rsidRPr="0054369A" w:rsidRDefault="0054369A" w:rsidP="0054369A">
      <w:pPr>
        <w:rPr>
          <w:rFonts w:ascii="Arial" w:hAnsi="Arial"/>
          <w:sz w:val="22"/>
          <w:highlight w:val="lightGray"/>
        </w:rPr>
      </w:pPr>
      <w:r w:rsidRPr="0054369A">
        <w:rPr>
          <w:rFonts w:ascii="Arial" w:hAnsi="Arial"/>
          <w:sz w:val="22"/>
          <w:highlight w:val="lightGray"/>
        </w:rPr>
        <w:t>Fill in Name</w:t>
      </w:r>
    </w:p>
    <w:p w14:paraId="3644BFD6" w14:textId="77777777" w:rsidR="0054369A" w:rsidRPr="0054369A" w:rsidRDefault="0054369A" w:rsidP="0054369A">
      <w:pPr>
        <w:rPr>
          <w:rFonts w:ascii="Arial" w:hAnsi="Arial"/>
          <w:sz w:val="22"/>
          <w:highlight w:val="lightGray"/>
        </w:rPr>
      </w:pPr>
      <w:r w:rsidRPr="0054369A">
        <w:rPr>
          <w:rFonts w:ascii="Arial" w:hAnsi="Arial"/>
          <w:sz w:val="22"/>
          <w:highlight w:val="lightGray"/>
        </w:rPr>
        <w:t>Title</w:t>
      </w:r>
    </w:p>
    <w:p w14:paraId="0CB2CAE1" w14:textId="421DE39E" w:rsidR="0054369A" w:rsidRPr="0054369A" w:rsidRDefault="0054369A" w:rsidP="0054369A">
      <w:pPr>
        <w:rPr>
          <w:rFonts w:ascii="Arial" w:hAnsi="Arial"/>
          <w:sz w:val="22"/>
          <w:highlight w:val="lightGray"/>
        </w:rPr>
      </w:pPr>
      <w:r w:rsidRPr="0054369A">
        <w:rPr>
          <w:rFonts w:ascii="Arial" w:hAnsi="Arial"/>
          <w:sz w:val="22"/>
          <w:highlight w:val="lightGray"/>
        </w:rPr>
        <w:t>Value Analysis Committee</w:t>
      </w:r>
    </w:p>
    <w:p w14:paraId="06803FC0" w14:textId="77777777" w:rsidR="0054369A" w:rsidRPr="0054369A" w:rsidRDefault="0054369A" w:rsidP="0054369A">
      <w:pPr>
        <w:rPr>
          <w:rFonts w:ascii="Arial" w:hAnsi="Arial"/>
          <w:sz w:val="22"/>
        </w:rPr>
      </w:pPr>
      <w:r w:rsidRPr="0054369A">
        <w:rPr>
          <w:rFonts w:ascii="Arial" w:hAnsi="Arial"/>
          <w:sz w:val="22"/>
          <w:highlight w:val="lightGray"/>
        </w:rPr>
        <w:t>Hospital address</w:t>
      </w:r>
    </w:p>
    <w:p w14:paraId="53AF2BEC" w14:textId="53A56F7C" w:rsidR="007E2124" w:rsidRDefault="007E2124" w:rsidP="0054369A">
      <w:pPr>
        <w:rPr>
          <w:rFonts w:ascii="Arial" w:hAnsi="Arial"/>
          <w:sz w:val="22"/>
        </w:rPr>
      </w:pPr>
    </w:p>
    <w:p w14:paraId="582FDE24" w14:textId="77777777" w:rsidR="0054369A" w:rsidRDefault="0054369A">
      <w:pPr>
        <w:rPr>
          <w:rFonts w:ascii="Arial" w:hAnsi="Arial"/>
          <w:sz w:val="22"/>
        </w:rPr>
      </w:pPr>
    </w:p>
    <w:p w14:paraId="0234E783" w14:textId="2F4668DD" w:rsidR="007E2124" w:rsidRDefault="00485A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</w:t>
      </w:r>
      <w:r w:rsidR="00F66AB3">
        <w:rPr>
          <w:rFonts w:ascii="Arial" w:hAnsi="Arial"/>
          <w:sz w:val="22"/>
        </w:rPr>
        <w:t>whom</w:t>
      </w:r>
      <w:r>
        <w:rPr>
          <w:rFonts w:ascii="Arial" w:hAnsi="Arial"/>
          <w:sz w:val="22"/>
        </w:rPr>
        <w:t xml:space="preserve"> it may concern,</w:t>
      </w:r>
    </w:p>
    <w:p w14:paraId="42A239D9" w14:textId="77777777" w:rsidR="007E2124" w:rsidRDefault="007E2124">
      <w:pPr>
        <w:rPr>
          <w:rFonts w:ascii="Arial" w:hAnsi="Arial"/>
          <w:sz w:val="22"/>
        </w:rPr>
      </w:pPr>
    </w:p>
    <w:p w14:paraId="64920895" w14:textId="3F69EAD6" w:rsidR="007E2124" w:rsidRDefault="007E2124" w:rsidP="00173E0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am requesting that </w:t>
      </w:r>
      <w:r w:rsidR="004A0A92">
        <w:rPr>
          <w:rFonts w:ascii="Arial" w:hAnsi="Arial"/>
          <w:sz w:val="22"/>
        </w:rPr>
        <w:t xml:space="preserve">the </w:t>
      </w:r>
      <w:r w:rsidRPr="0090609A">
        <w:rPr>
          <w:rFonts w:ascii="Arial" w:hAnsi="Arial"/>
          <w:i/>
          <w:sz w:val="22"/>
        </w:rPr>
        <w:t>CarboJet</w:t>
      </w:r>
      <w:r>
        <w:rPr>
          <w:rFonts w:ascii="Arial" w:hAnsi="Arial"/>
          <w:sz w:val="22"/>
        </w:rPr>
        <w:t xml:space="preserve"> CO</w:t>
      </w:r>
      <w:r w:rsidRPr="00173E04">
        <w:rPr>
          <w:rFonts w:ascii="Arial" w:hAnsi="Arial"/>
          <w:sz w:val="16"/>
          <w:szCs w:val="16"/>
        </w:rPr>
        <w:t>2</w:t>
      </w:r>
      <w:r>
        <w:rPr>
          <w:rFonts w:ascii="Arial" w:hAnsi="Arial"/>
          <w:sz w:val="22"/>
        </w:rPr>
        <w:t xml:space="preserve"> </w:t>
      </w:r>
      <w:r w:rsidR="000B3019">
        <w:rPr>
          <w:rFonts w:ascii="Arial" w:hAnsi="Arial"/>
          <w:sz w:val="22"/>
        </w:rPr>
        <w:t>Bone Preparation</w:t>
      </w:r>
      <w:r>
        <w:rPr>
          <w:rFonts w:ascii="Arial" w:hAnsi="Arial"/>
          <w:sz w:val="22"/>
        </w:rPr>
        <w:t xml:space="preserve"> Syste</w:t>
      </w:r>
      <w:r w:rsidR="00173E04">
        <w:rPr>
          <w:rFonts w:ascii="Arial" w:hAnsi="Arial"/>
          <w:sz w:val="22"/>
        </w:rPr>
        <w:t>m be made available for my use</w:t>
      </w:r>
      <w:r w:rsidR="0054369A">
        <w:rPr>
          <w:rFonts w:ascii="Arial" w:hAnsi="Arial"/>
          <w:sz w:val="22"/>
        </w:rPr>
        <w:t xml:space="preserve"> at </w:t>
      </w:r>
      <w:r w:rsidR="0054369A" w:rsidRPr="0054369A">
        <w:rPr>
          <w:rFonts w:ascii="Arial" w:hAnsi="Arial"/>
          <w:sz w:val="22"/>
          <w:highlight w:val="lightGray"/>
        </w:rPr>
        <w:t>[Hospital Name]</w:t>
      </w:r>
      <w:r w:rsidR="00173E04">
        <w:rPr>
          <w:rFonts w:ascii="Arial" w:hAnsi="Arial"/>
          <w:sz w:val="22"/>
        </w:rPr>
        <w:t xml:space="preserve">.  </w:t>
      </w:r>
      <w:r w:rsidR="00173E04" w:rsidRPr="0090609A">
        <w:rPr>
          <w:rFonts w:ascii="Arial" w:hAnsi="Arial"/>
          <w:i/>
          <w:sz w:val="22"/>
        </w:rPr>
        <w:t>CarboJet</w:t>
      </w:r>
      <w:r>
        <w:rPr>
          <w:rFonts w:ascii="Arial" w:hAnsi="Arial"/>
          <w:sz w:val="22"/>
        </w:rPr>
        <w:t xml:space="preserve"> offers important benefits that are not available th</w:t>
      </w:r>
      <w:r w:rsidR="00921B22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 xml:space="preserve">ough the use of any other product.  </w:t>
      </w:r>
      <w:r w:rsidR="004F7FA1">
        <w:rPr>
          <w:rFonts w:ascii="Arial" w:hAnsi="Arial"/>
          <w:sz w:val="22"/>
        </w:rPr>
        <w:t>These benefits and the clinical studies that support them are listed</w:t>
      </w:r>
      <w:r w:rsidR="00F66AB3">
        <w:rPr>
          <w:rFonts w:ascii="Arial" w:hAnsi="Arial"/>
          <w:sz w:val="22"/>
        </w:rPr>
        <w:t xml:space="preserve"> (and linked)</w:t>
      </w:r>
      <w:r w:rsidR="004F7FA1">
        <w:rPr>
          <w:rFonts w:ascii="Arial" w:hAnsi="Arial"/>
          <w:sz w:val="22"/>
        </w:rPr>
        <w:t xml:space="preserve"> below.</w:t>
      </w:r>
    </w:p>
    <w:p w14:paraId="100F399F" w14:textId="77777777" w:rsidR="00402F94" w:rsidRDefault="00402F94" w:rsidP="00402F94">
      <w:pPr>
        <w:numPr>
          <w:ilvl w:val="0"/>
          <w:numId w:val="4"/>
        </w:numPr>
        <w:spacing w:before="100" w:beforeAutospacing="1"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improved ability to perform total knee arthroplasty (TKA) without the use of a tourniquet </w:t>
      </w:r>
      <w:r w:rsidRPr="00CF2621">
        <w:rPr>
          <w:rFonts w:ascii="Arial" w:hAnsi="Arial"/>
          <w:i/>
          <w:sz w:val="22"/>
        </w:rPr>
        <w:t>(</w:t>
      </w:r>
      <w:hyperlink r:id="rId8" w:history="1">
        <w:r w:rsidRPr="00375462">
          <w:rPr>
            <w:rStyle w:val="Hyperlink"/>
            <w:rFonts w:ascii="Arial" w:hAnsi="Arial"/>
            <w:i/>
            <w:sz w:val="22"/>
          </w:rPr>
          <w:t>see study by Jones</w:t>
        </w:r>
      </w:hyperlink>
      <w:r w:rsidRPr="00CF2621">
        <w:rPr>
          <w:rFonts w:ascii="Arial" w:hAnsi="Arial"/>
          <w:i/>
          <w:sz w:val="22"/>
        </w:rPr>
        <w:t>)</w:t>
      </w:r>
      <w:r>
        <w:rPr>
          <w:rFonts w:ascii="Arial" w:hAnsi="Arial"/>
          <w:i/>
          <w:sz w:val="22"/>
        </w:rPr>
        <w:t xml:space="preserve">.  </w:t>
      </w:r>
      <w:r w:rsidRPr="0090609A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t</w:t>
      </w:r>
      <w:r w:rsidRPr="0090609A">
        <w:rPr>
          <w:rFonts w:ascii="Arial" w:hAnsi="Arial"/>
          <w:sz w:val="22"/>
        </w:rPr>
        <w:t>ourniquetless TKA technique is</w:t>
      </w:r>
      <w:r>
        <w:rPr>
          <w:rFonts w:ascii="Arial" w:hAnsi="Arial"/>
          <w:i/>
          <w:sz w:val="22"/>
        </w:rPr>
        <w:t xml:space="preserve"> </w:t>
      </w:r>
      <w:r w:rsidRPr="004A4D56">
        <w:rPr>
          <w:rFonts w:ascii="Arial" w:hAnsi="Arial"/>
          <w:sz w:val="22"/>
        </w:rPr>
        <w:t>associated wi</w:t>
      </w:r>
      <w:r>
        <w:rPr>
          <w:rFonts w:ascii="Arial" w:hAnsi="Arial"/>
          <w:sz w:val="22"/>
        </w:rPr>
        <w:t xml:space="preserve">th a </w:t>
      </w:r>
      <w:r w:rsidRPr="00C67269">
        <w:rPr>
          <w:rFonts w:ascii="Arial" w:hAnsi="Arial"/>
          <w:sz w:val="22"/>
          <w:u w:val="single"/>
        </w:rPr>
        <w:t>reduction in post-op pain and opioid consumption</w:t>
      </w:r>
      <w:r>
        <w:rPr>
          <w:rFonts w:ascii="Arial" w:hAnsi="Arial"/>
          <w:sz w:val="22"/>
        </w:rPr>
        <w:t xml:space="preserve"> (</w:t>
      </w:r>
      <w:r w:rsidRPr="00725C24">
        <w:rPr>
          <w:rFonts w:ascii="Arial" w:hAnsi="Arial"/>
          <w:i/>
          <w:sz w:val="22"/>
        </w:rPr>
        <w:t xml:space="preserve">see </w:t>
      </w:r>
      <w:hyperlink r:id="rId9" w:history="1">
        <w:r w:rsidRPr="00725C24">
          <w:rPr>
            <w:rStyle w:val="Hyperlink"/>
            <w:rFonts w:ascii="Arial" w:hAnsi="Arial"/>
            <w:i/>
            <w:sz w:val="22"/>
          </w:rPr>
          <w:t>published study</w:t>
        </w:r>
      </w:hyperlink>
      <w:r>
        <w:rPr>
          <w:rFonts w:ascii="Arial" w:hAnsi="Arial"/>
          <w:sz w:val="22"/>
        </w:rPr>
        <w:t xml:space="preserve"> and </w:t>
      </w:r>
      <w:hyperlink r:id="rId10" w:history="1">
        <w:r>
          <w:rPr>
            <w:rStyle w:val="Hyperlink"/>
            <w:rFonts w:ascii="Arial" w:hAnsi="Arial"/>
            <w:i/>
            <w:sz w:val="22"/>
          </w:rPr>
          <w:t>AAOS abstract by Meneghini</w:t>
        </w:r>
      </w:hyperlink>
      <w:r w:rsidRPr="0090609A">
        <w:rPr>
          <w:rFonts w:ascii="Arial" w:hAnsi="Arial"/>
          <w:i/>
          <w:sz w:val="22"/>
        </w:rPr>
        <w:t>),</w:t>
      </w:r>
      <w:r>
        <w:rPr>
          <w:rFonts w:ascii="Arial" w:hAnsi="Arial"/>
          <w:sz w:val="22"/>
        </w:rPr>
        <w:t xml:space="preserve"> as well as other clinical benefits.  There is widespread availability of scientific literature describing the adverse effects of tourniquet use in TKA, including the following linked studies:</w:t>
      </w:r>
    </w:p>
    <w:p w14:paraId="3322517B" w14:textId="77777777" w:rsidR="00402F94" w:rsidRPr="006C3F79" w:rsidRDefault="00402F94" w:rsidP="00402F94">
      <w:pPr>
        <w:pStyle w:val="ListParagraph"/>
        <w:numPr>
          <w:ilvl w:val="1"/>
          <w:numId w:val="4"/>
        </w:numPr>
        <w:rPr>
          <w:rStyle w:val="Hyperlink"/>
        </w:rPr>
      </w:pPr>
      <w:hyperlink r:id="rId11" w:history="1">
        <w:r w:rsidRPr="006C3F79">
          <w:rPr>
            <w:rStyle w:val="Hyperlink"/>
          </w:rPr>
          <w:t>Faster recovery without the use of a tourniquet in total knee arthroplasty</w:t>
        </w:r>
      </w:hyperlink>
    </w:p>
    <w:p w14:paraId="469CAD2B" w14:textId="77777777" w:rsidR="00402F94" w:rsidRPr="006C3F79" w:rsidRDefault="00402F94" w:rsidP="00402F94">
      <w:pPr>
        <w:pStyle w:val="ListParagraph"/>
        <w:numPr>
          <w:ilvl w:val="1"/>
          <w:numId w:val="4"/>
        </w:numPr>
        <w:rPr>
          <w:rStyle w:val="Hyperlink"/>
        </w:rPr>
      </w:pPr>
      <w:hyperlink r:id="rId12" w:history="1">
        <w:r w:rsidRPr="006C3F79">
          <w:rPr>
            <w:rStyle w:val="Hyperlink"/>
          </w:rPr>
          <w:t>Does Tourniquet Use in TKA Affect Recovery of Lower Extremity Strength and Function?</w:t>
        </w:r>
      </w:hyperlink>
    </w:p>
    <w:p w14:paraId="03AC25C6" w14:textId="77777777" w:rsidR="00402F94" w:rsidRDefault="00402F94" w:rsidP="00402F94">
      <w:pPr>
        <w:pStyle w:val="ListParagraph"/>
        <w:numPr>
          <w:ilvl w:val="1"/>
          <w:numId w:val="4"/>
        </w:numPr>
        <w:rPr>
          <w:rStyle w:val="Hyperlink"/>
        </w:rPr>
      </w:pPr>
      <w:hyperlink r:id="rId13" w:history="1">
        <w:r w:rsidRPr="006C3F79">
          <w:rPr>
            <w:rStyle w:val="Hyperlink"/>
          </w:rPr>
          <w:t>Effects of tourniquet use on quadriceps function and pain in total knee arthroplasty</w:t>
        </w:r>
      </w:hyperlink>
    </w:p>
    <w:p w14:paraId="7E31E24F" w14:textId="77777777" w:rsidR="00402F94" w:rsidRPr="00E204F5" w:rsidRDefault="00402F94" w:rsidP="00402F94">
      <w:pPr>
        <w:spacing w:before="100" w:beforeAutospacing="1" w:after="240"/>
        <w:ind w:left="720"/>
        <w:jc w:val="both"/>
        <w:rPr>
          <w:rFonts w:ascii="Arial" w:hAnsi="Arial"/>
        </w:rPr>
      </w:pPr>
      <w:r w:rsidRPr="00E204F5">
        <w:rPr>
          <w:rFonts w:ascii="Arial" w:hAnsi="Arial"/>
          <w:sz w:val="22"/>
          <w:szCs w:val="22"/>
        </w:rPr>
        <w:t xml:space="preserve">A major challenge with Tourniquetless TKA is achieving an optimal “cement technique” because of the additional fluid debris present in the bone and at the implant interfaces. </w:t>
      </w:r>
      <w:r w:rsidRPr="00E204F5">
        <w:rPr>
          <w:rFonts w:ascii="Arial" w:hAnsi="Arial"/>
          <w:i/>
          <w:sz w:val="22"/>
          <w:szCs w:val="22"/>
        </w:rPr>
        <w:t>CarboJet</w:t>
      </w:r>
      <w:r w:rsidRPr="00E204F5">
        <w:rPr>
          <w:rFonts w:ascii="Arial" w:hAnsi="Arial"/>
          <w:sz w:val="22"/>
          <w:szCs w:val="22"/>
        </w:rPr>
        <w:t xml:space="preserve"> addresses this challenge and enables surgeons to perform TKA without a tourniquet without compromising their cement technique.  In fact, by adopting </w:t>
      </w:r>
      <w:r w:rsidRPr="00E204F5">
        <w:rPr>
          <w:rFonts w:ascii="Arial" w:hAnsi="Arial"/>
          <w:i/>
          <w:sz w:val="22"/>
          <w:szCs w:val="22"/>
        </w:rPr>
        <w:t>CarboJet</w:t>
      </w:r>
      <w:r w:rsidRPr="00E204F5">
        <w:rPr>
          <w:rFonts w:ascii="Arial" w:hAnsi="Arial"/>
          <w:sz w:val="22"/>
          <w:szCs w:val="22"/>
        </w:rPr>
        <w:t xml:space="preserve"> and eliminating the tourniquet, cement penetration can actually be improved, as described in a recent </w:t>
      </w:r>
      <w:r w:rsidRPr="00E204F5">
        <w:rPr>
          <w:rFonts w:ascii="Arial" w:hAnsi="Arial"/>
          <w:i/>
          <w:sz w:val="22"/>
          <w:szCs w:val="22"/>
        </w:rPr>
        <w:t>Journal of Arthroplasty</w:t>
      </w:r>
      <w:r w:rsidRPr="00E204F5">
        <w:rPr>
          <w:rFonts w:ascii="Arial" w:hAnsi="Arial"/>
          <w:sz w:val="22"/>
          <w:szCs w:val="22"/>
        </w:rPr>
        <w:t xml:space="preserve"> study which compared a group with </w:t>
      </w:r>
      <w:r w:rsidRPr="00E204F5">
        <w:rPr>
          <w:rFonts w:ascii="Arial" w:hAnsi="Arial"/>
          <w:sz w:val="22"/>
          <w:szCs w:val="22"/>
          <w:u w:val="single"/>
        </w:rPr>
        <w:t xml:space="preserve">no tourniquet and with </w:t>
      </w:r>
      <w:r w:rsidRPr="00E204F5">
        <w:rPr>
          <w:rFonts w:ascii="Arial" w:hAnsi="Arial"/>
          <w:i/>
          <w:sz w:val="22"/>
          <w:szCs w:val="22"/>
          <w:u w:val="single"/>
        </w:rPr>
        <w:t>CarboJet</w:t>
      </w:r>
      <w:r w:rsidRPr="00E204F5">
        <w:rPr>
          <w:rFonts w:ascii="Arial" w:hAnsi="Arial"/>
          <w:sz w:val="22"/>
          <w:szCs w:val="22"/>
        </w:rPr>
        <w:t xml:space="preserve"> versus a group </w:t>
      </w:r>
      <w:r w:rsidRPr="00E204F5">
        <w:rPr>
          <w:rFonts w:ascii="Arial" w:hAnsi="Arial"/>
          <w:sz w:val="22"/>
          <w:szCs w:val="22"/>
          <w:u w:val="single"/>
        </w:rPr>
        <w:t xml:space="preserve">with tourniquet and without </w:t>
      </w:r>
      <w:r w:rsidRPr="00E204F5">
        <w:rPr>
          <w:rFonts w:ascii="Arial" w:hAnsi="Arial"/>
          <w:i/>
          <w:sz w:val="22"/>
          <w:szCs w:val="22"/>
          <w:u w:val="single"/>
        </w:rPr>
        <w:t>CarboJet</w:t>
      </w:r>
      <w:r w:rsidRPr="00E204F5">
        <w:rPr>
          <w:rFonts w:ascii="Arial" w:hAnsi="Arial"/>
          <w:sz w:val="22"/>
          <w:szCs w:val="22"/>
        </w:rPr>
        <w:t xml:space="preserve"> (</w:t>
      </w:r>
      <w:hyperlink r:id="rId14" w:history="1">
        <w:r w:rsidRPr="00E204F5">
          <w:rPr>
            <w:rStyle w:val="Hyperlink"/>
            <w:rFonts w:ascii="Arial" w:hAnsi="Arial"/>
            <w:i/>
            <w:sz w:val="22"/>
            <w:szCs w:val="22"/>
          </w:rPr>
          <w:t>see 2019 study by Meneghini et al</w:t>
        </w:r>
      </w:hyperlink>
      <w:r w:rsidRPr="00E204F5">
        <w:rPr>
          <w:rFonts w:ascii="Arial" w:hAnsi="Arial"/>
          <w:sz w:val="22"/>
          <w:szCs w:val="22"/>
        </w:rPr>
        <w:t>).</w:t>
      </w:r>
    </w:p>
    <w:p w14:paraId="5AC3F88B" w14:textId="77777777" w:rsidR="00402F94" w:rsidRPr="008929BB" w:rsidRDefault="00402F94" w:rsidP="00402F94">
      <w:pPr>
        <w:pStyle w:val="Heading1"/>
        <w:numPr>
          <w:ilvl w:val="0"/>
          <w:numId w:val="4"/>
        </w:numPr>
        <w:spacing w:after="240" w:afterAutospacing="0"/>
        <w:jc w:val="both"/>
        <w:rPr>
          <w:rFonts w:ascii="Arial" w:hAnsi="Arial" w:cs="Arial"/>
          <w:b w:val="0"/>
          <w:bCs w:val="0"/>
          <w:sz w:val="22"/>
        </w:rPr>
      </w:pPr>
      <w:r w:rsidRPr="00E204F5">
        <w:rPr>
          <w:rFonts w:ascii="Arial" w:hAnsi="Arial" w:cs="Arial"/>
          <w:b w:val="0"/>
          <w:bCs w:val="0"/>
          <w:sz w:val="22"/>
        </w:rPr>
        <w:t>A demonstrated increase in cement penetration into the cancellous bone matrix in TKA as compared to pulsatile saline lavage (</w:t>
      </w:r>
      <w:r w:rsidRPr="00E204F5">
        <w:rPr>
          <w:rFonts w:ascii="Arial" w:hAnsi="Arial" w:cs="Arial"/>
          <w:b w:val="0"/>
          <w:bCs w:val="0"/>
          <w:i/>
          <w:sz w:val="22"/>
        </w:rPr>
        <w:t xml:space="preserve">see studies by </w:t>
      </w:r>
      <w:hyperlink r:id="rId15" w:history="1">
        <w:r w:rsidRPr="00E204F5">
          <w:rPr>
            <w:rStyle w:val="Hyperlink"/>
            <w:rFonts w:ascii="Arial" w:hAnsi="Arial" w:cs="Arial"/>
            <w:b w:val="0"/>
            <w:bCs w:val="0"/>
            <w:i/>
            <w:sz w:val="22"/>
          </w:rPr>
          <w:t>Meneghini et al</w:t>
        </w:r>
      </w:hyperlink>
      <w:r w:rsidRPr="00E204F5">
        <w:rPr>
          <w:rFonts w:ascii="Arial" w:hAnsi="Arial" w:cs="Arial"/>
          <w:b w:val="0"/>
          <w:bCs w:val="0"/>
          <w:sz w:val="22"/>
        </w:rPr>
        <w:t xml:space="preserve"> and</w:t>
      </w:r>
      <w:r>
        <w:rPr>
          <w:rFonts w:ascii="Arial" w:hAnsi="Arial" w:cs="Arial"/>
          <w:b w:val="0"/>
          <w:bCs w:val="0"/>
          <w:sz w:val="22"/>
        </w:rPr>
        <w:t xml:space="preserve"> </w:t>
      </w:r>
      <w:hyperlink r:id="rId16" w:history="1">
        <w:r w:rsidRPr="006D2EDB">
          <w:rPr>
            <w:rStyle w:val="Hyperlink"/>
            <w:rFonts w:ascii="Arial" w:hAnsi="Arial" w:cs="Arial"/>
            <w:b w:val="0"/>
            <w:bCs w:val="0"/>
            <w:i/>
            <w:sz w:val="22"/>
          </w:rPr>
          <w:t>Goldstein et al</w:t>
        </w:r>
      </w:hyperlink>
      <w:r w:rsidRPr="00CF2621">
        <w:rPr>
          <w:rFonts w:ascii="Arial" w:hAnsi="Arial" w:cs="Arial"/>
          <w:b w:val="0"/>
          <w:bCs w:val="0"/>
          <w:i/>
          <w:sz w:val="22"/>
        </w:rPr>
        <w:t>)</w:t>
      </w:r>
      <w:r>
        <w:rPr>
          <w:rFonts w:ascii="Arial" w:hAnsi="Arial" w:cs="Arial"/>
          <w:b w:val="0"/>
          <w:bCs w:val="0"/>
          <w:i/>
          <w:sz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 xml:space="preserve">as a result of effective removal of lipids/ fatty marrow, blood, and saline from the bone bed.  Aseptic loosening was shown in a recent study to be the </w:t>
      </w:r>
      <w:r w:rsidRPr="00A24EFF">
        <w:rPr>
          <w:rFonts w:ascii="Arial" w:hAnsi="Arial" w:cs="Arial"/>
          <w:b w:val="0"/>
          <w:bCs w:val="0"/>
          <w:sz w:val="22"/>
          <w:u w:val="single"/>
        </w:rPr>
        <w:t>number one</w:t>
      </w:r>
      <w:r>
        <w:rPr>
          <w:rFonts w:ascii="Arial" w:hAnsi="Arial" w:cs="Arial"/>
          <w:b w:val="0"/>
          <w:bCs w:val="0"/>
          <w:sz w:val="22"/>
        </w:rPr>
        <w:t xml:space="preserve"> cause of knee arthroplasty failure </w:t>
      </w:r>
      <w:r>
        <w:rPr>
          <w:rFonts w:ascii="Arial" w:hAnsi="Arial" w:cs="Arial"/>
          <w:b w:val="0"/>
          <w:bCs w:val="0"/>
          <w:i/>
          <w:sz w:val="22"/>
        </w:rPr>
        <w:t>(</w:t>
      </w:r>
      <w:hyperlink r:id="rId17" w:history="1">
        <w:r w:rsidRPr="00375462">
          <w:rPr>
            <w:rStyle w:val="Hyperlink"/>
            <w:rFonts w:ascii="Arial" w:hAnsi="Arial" w:cs="Arial"/>
            <w:b w:val="0"/>
            <w:bCs w:val="0"/>
            <w:i/>
            <w:sz w:val="22"/>
          </w:rPr>
          <w:t>see study by Schroer et al</w:t>
        </w:r>
      </w:hyperlink>
      <w:r>
        <w:rPr>
          <w:rFonts w:ascii="Arial" w:hAnsi="Arial" w:cs="Arial"/>
          <w:b w:val="0"/>
          <w:bCs w:val="0"/>
          <w:i/>
          <w:sz w:val="22"/>
        </w:rPr>
        <w:t xml:space="preserve">). Also see the White Paper on Aseptic Loosening </w:t>
      </w:r>
      <w:r w:rsidRPr="00E42A0E">
        <w:rPr>
          <w:rFonts w:ascii="Arial" w:hAnsi="Arial" w:cs="Arial"/>
          <w:b w:val="0"/>
          <w:bCs w:val="0"/>
          <w:i/>
          <w:sz w:val="22"/>
        </w:rPr>
        <w:t>(</w:t>
      </w:r>
      <w:hyperlink r:id="rId18" w:history="1">
        <w:r w:rsidRPr="00E42A0E">
          <w:rPr>
            <w:rStyle w:val="Hyperlink"/>
            <w:rFonts w:ascii="Arial" w:hAnsi="Arial" w:cs="Arial"/>
            <w:b w:val="0"/>
            <w:bCs w:val="0"/>
            <w:i/>
            <w:sz w:val="22"/>
          </w:rPr>
          <w:t>linked here</w:t>
        </w:r>
      </w:hyperlink>
      <w:r>
        <w:rPr>
          <w:rFonts w:ascii="Arial" w:hAnsi="Arial" w:cs="Arial"/>
          <w:b w:val="0"/>
          <w:bCs w:val="0"/>
          <w:i/>
          <w:sz w:val="22"/>
        </w:rPr>
        <w:t>), which discusses some of the numerous studies showing similar results over the last decade.  Below are links to some of these studies:</w:t>
      </w:r>
    </w:p>
    <w:p w14:paraId="2B22D27A" w14:textId="77777777" w:rsidR="00402F94" w:rsidRPr="006C3F79" w:rsidRDefault="00402F94" w:rsidP="00402F94">
      <w:pPr>
        <w:pStyle w:val="ListParagraph"/>
        <w:numPr>
          <w:ilvl w:val="1"/>
          <w:numId w:val="4"/>
        </w:numPr>
        <w:rPr>
          <w:rStyle w:val="Hyperlink"/>
          <w:color w:val="auto"/>
          <w:u w:val="none"/>
        </w:rPr>
      </w:pPr>
      <w:hyperlink r:id="rId19" w:history="1">
        <w:r w:rsidRPr="00AF0D9C">
          <w:rPr>
            <w:rStyle w:val="Hyperlink"/>
          </w:rPr>
          <w:t>Why are total knee arthroplasties being revised?</w:t>
        </w:r>
      </w:hyperlink>
    </w:p>
    <w:p w14:paraId="71F14DF6" w14:textId="77777777" w:rsidR="00402F94" w:rsidRPr="006C3F79" w:rsidRDefault="00402F94" w:rsidP="00402F94">
      <w:pPr>
        <w:pStyle w:val="ListParagraph"/>
        <w:numPr>
          <w:ilvl w:val="1"/>
          <w:numId w:val="4"/>
        </w:numPr>
        <w:rPr>
          <w:rStyle w:val="Hyperlink"/>
          <w:color w:val="auto"/>
          <w:u w:val="none"/>
        </w:rPr>
      </w:pPr>
      <w:hyperlink r:id="rId20" w:history="1">
        <w:r w:rsidRPr="00AF0D9C">
          <w:rPr>
            <w:rStyle w:val="Hyperlink"/>
          </w:rPr>
          <w:t>Why are total knee replacements revised?: analysis of early revision in a community knee implant registry.</w:t>
        </w:r>
      </w:hyperlink>
    </w:p>
    <w:p w14:paraId="5148C6AF" w14:textId="77777777" w:rsidR="00402F94" w:rsidRPr="006C3F79" w:rsidRDefault="00402F94" w:rsidP="00402F94">
      <w:pPr>
        <w:pStyle w:val="ListParagraph"/>
        <w:numPr>
          <w:ilvl w:val="1"/>
          <w:numId w:val="4"/>
        </w:numPr>
        <w:rPr>
          <w:rStyle w:val="Hyperlink"/>
          <w:color w:val="auto"/>
          <w:u w:val="none"/>
        </w:rPr>
      </w:pPr>
      <w:hyperlink r:id="rId21" w:history="1">
        <w:r w:rsidRPr="00AF0D9C">
          <w:rPr>
            <w:rStyle w:val="Hyperlink"/>
          </w:rPr>
          <w:t>Revision total knee arthroplasty in the young patient: is there trouble on the horizon?</w:t>
        </w:r>
      </w:hyperlink>
    </w:p>
    <w:p w14:paraId="6FFB0C33" w14:textId="77777777" w:rsidR="00402F94" w:rsidRPr="00282658" w:rsidRDefault="00402F94" w:rsidP="00402F94">
      <w:pPr>
        <w:pStyle w:val="Heading1"/>
        <w:numPr>
          <w:ilvl w:val="0"/>
          <w:numId w:val="4"/>
        </w:numPr>
        <w:spacing w:before="240" w:beforeAutospacing="0" w:after="240" w:afterAutospacing="0"/>
        <w:jc w:val="both"/>
        <w:rPr>
          <w:rFonts w:ascii="Arial" w:hAnsi="Arial" w:cs="Arial"/>
          <w:b w:val="0"/>
          <w:bCs w:val="0"/>
          <w:sz w:val="22"/>
        </w:rPr>
      </w:pPr>
      <w:r w:rsidRPr="00282658">
        <w:rPr>
          <w:rFonts w:ascii="Arial" w:hAnsi="Arial" w:cs="Arial"/>
          <w:b w:val="0"/>
          <w:bCs w:val="0"/>
          <w:sz w:val="22"/>
        </w:rPr>
        <w:t xml:space="preserve">A demonstrated </w:t>
      </w:r>
      <w:r w:rsidRPr="00173E04">
        <w:rPr>
          <w:rFonts w:ascii="Arial" w:hAnsi="Arial" w:cs="Arial"/>
          <w:b w:val="0"/>
          <w:bCs w:val="0"/>
          <w:sz w:val="22"/>
          <w:u w:val="single"/>
        </w:rPr>
        <w:t>increase in the bone-cement interface strength</w:t>
      </w:r>
      <w:r w:rsidRPr="00282658">
        <w:rPr>
          <w:rFonts w:ascii="Arial" w:hAnsi="Arial" w:cs="Arial"/>
          <w:b w:val="0"/>
          <w:bCs w:val="0"/>
          <w:sz w:val="22"/>
        </w:rPr>
        <w:t xml:space="preserve"> </w:t>
      </w:r>
      <w:r w:rsidRPr="00282658">
        <w:rPr>
          <w:rFonts w:ascii="Arial" w:hAnsi="Arial" w:cs="Arial"/>
          <w:b w:val="0"/>
          <w:bCs w:val="0"/>
          <w:i/>
          <w:sz w:val="22"/>
        </w:rPr>
        <w:t>(</w:t>
      </w:r>
      <w:hyperlink r:id="rId22" w:history="1">
        <w:r w:rsidRPr="00375462">
          <w:rPr>
            <w:rStyle w:val="Hyperlink"/>
            <w:rFonts w:ascii="Arial" w:hAnsi="Arial" w:cs="Arial"/>
            <w:b w:val="0"/>
            <w:bCs w:val="0"/>
            <w:i/>
            <w:sz w:val="22"/>
          </w:rPr>
          <w:t>see study by Stanley et al</w:t>
        </w:r>
      </w:hyperlink>
      <w:r w:rsidRPr="00282658">
        <w:rPr>
          <w:rFonts w:ascii="Arial" w:hAnsi="Arial" w:cs="Arial"/>
          <w:b w:val="0"/>
          <w:bCs w:val="0"/>
          <w:i/>
          <w:sz w:val="22"/>
        </w:rPr>
        <w:t xml:space="preserve">).  </w:t>
      </w:r>
      <w:r w:rsidRPr="00282658">
        <w:rPr>
          <w:rFonts w:ascii="Arial" w:hAnsi="Arial" w:cs="Arial"/>
          <w:b w:val="0"/>
          <w:bCs w:val="0"/>
          <w:sz w:val="22"/>
        </w:rPr>
        <w:t xml:space="preserve">In </w:t>
      </w:r>
      <w:r>
        <w:rPr>
          <w:rFonts w:ascii="Arial" w:hAnsi="Arial" w:cs="Arial"/>
          <w:b w:val="0"/>
          <w:bCs w:val="0"/>
          <w:sz w:val="22"/>
        </w:rPr>
        <w:t>this study,</w:t>
      </w:r>
      <w:r>
        <w:rPr>
          <w:rFonts w:ascii="Arial" w:hAnsi="Arial" w:cs="Arial"/>
          <w:b w:val="0"/>
          <w:bCs w:val="0"/>
          <w:i/>
          <w:sz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>b</w:t>
      </w:r>
      <w:r w:rsidRPr="00282658">
        <w:rPr>
          <w:rFonts w:ascii="Arial" w:hAnsi="Arial" w:cs="Arial"/>
          <w:b w:val="0"/>
          <w:bCs w:val="0"/>
          <w:sz w:val="22"/>
        </w:rPr>
        <w:t xml:space="preserve">one-cement interface </w:t>
      </w:r>
      <w:r>
        <w:rPr>
          <w:rFonts w:ascii="Arial" w:hAnsi="Arial" w:cs="Arial"/>
          <w:b w:val="0"/>
          <w:bCs w:val="0"/>
          <w:sz w:val="22"/>
        </w:rPr>
        <w:t xml:space="preserve">strength was shown to be </w:t>
      </w:r>
      <w:r w:rsidRPr="00282658">
        <w:rPr>
          <w:rFonts w:ascii="Arial" w:hAnsi="Arial" w:cs="Arial"/>
          <w:b w:val="0"/>
          <w:bCs w:val="0"/>
          <w:sz w:val="22"/>
        </w:rPr>
        <w:t xml:space="preserve">58% higher with </w:t>
      </w:r>
      <w:r w:rsidRPr="0090609A">
        <w:rPr>
          <w:rFonts w:ascii="Arial" w:hAnsi="Arial" w:cs="Arial"/>
          <w:b w:val="0"/>
          <w:bCs w:val="0"/>
          <w:i/>
          <w:sz w:val="22"/>
        </w:rPr>
        <w:t>CarboJet</w:t>
      </w:r>
      <w:r w:rsidRPr="00282658">
        <w:rPr>
          <w:rFonts w:ascii="Arial" w:hAnsi="Arial" w:cs="Arial"/>
          <w:b w:val="0"/>
          <w:bCs w:val="0"/>
          <w:sz w:val="22"/>
        </w:rPr>
        <w:t xml:space="preserve"> cleaning versus saline.</w:t>
      </w:r>
    </w:p>
    <w:p w14:paraId="0D0FFE8F" w14:textId="77777777" w:rsidR="00402F94" w:rsidRDefault="00402F94" w:rsidP="00402F94">
      <w:pPr>
        <w:pStyle w:val="Heading1"/>
        <w:numPr>
          <w:ilvl w:val="0"/>
          <w:numId w:val="4"/>
        </w:numPr>
        <w:spacing w:after="240" w:afterAutospacing="0"/>
        <w:jc w:val="both"/>
        <w:rPr>
          <w:rFonts w:ascii="Arial" w:hAnsi="Arial" w:cs="Arial"/>
          <w:b w:val="0"/>
          <w:bCs w:val="0"/>
          <w:sz w:val="22"/>
        </w:rPr>
      </w:pPr>
      <w:r w:rsidRPr="008929BB">
        <w:rPr>
          <w:rFonts w:ascii="Arial" w:hAnsi="Arial" w:cs="Arial"/>
          <w:b w:val="0"/>
          <w:bCs w:val="0"/>
          <w:sz w:val="22"/>
        </w:rPr>
        <w:t xml:space="preserve">The </w:t>
      </w:r>
      <w:r w:rsidRPr="00660F4A">
        <w:rPr>
          <w:rFonts w:ascii="Arial" w:hAnsi="Arial" w:cs="Arial"/>
          <w:b w:val="0"/>
          <w:bCs w:val="0"/>
          <w:sz w:val="22"/>
          <w:u w:val="single"/>
        </w:rPr>
        <w:t>ability to gain access in the posterior regions of the knee</w:t>
      </w:r>
      <w:r w:rsidRPr="008929BB">
        <w:rPr>
          <w:rFonts w:ascii="Arial" w:hAnsi="Arial" w:cs="Arial"/>
          <w:b w:val="0"/>
          <w:bCs w:val="0"/>
          <w:sz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>to</w:t>
      </w:r>
      <w:r w:rsidRPr="008929BB">
        <w:rPr>
          <w:rFonts w:ascii="Arial" w:hAnsi="Arial" w:cs="Arial"/>
          <w:b w:val="0"/>
          <w:bCs w:val="0"/>
          <w:sz w:val="22"/>
        </w:rPr>
        <w:t xml:space="preserve"> </w:t>
      </w:r>
      <w:r w:rsidRPr="00660F4A">
        <w:rPr>
          <w:rFonts w:ascii="Arial" w:hAnsi="Arial" w:cs="Arial"/>
          <w:b w:val="0"/>
          <w:bCs w:val="0"/>
          <w:sz w:val="22"/>
          <w:u w:val="single"/>
        </w:rPr>
        <w:t>achieve bone bed cleaning and drying</w:t>
      </w:r>
      <w:r w:rsidRPr="008929BB">
        <w:rPr>
          <w:rFonts w:ascii="Arial" w:hAnsi="Arial" w:cs="Arial"/>
          <w:b w:val="0"/>
          <w:bCs w:val="0"/>
          <w:sz w:val="22"/>
        </w:rPr>
        <w:t xml:space="preserve"> in both TKA and </w:t>
      </w:r>
      <w:r>
        <w:rPr>
          <w:rFonts w:ascii="Arial" w:hAnsi="Arial" w:cs="Arial"/>
          <w:b w:val="0"/>
          <w:bCs w:val="0"/>
          <w:sz w:val="22"/>
        </w:rPr>
        <w:t>UKA (</w:t>
      </w:r>
      <w:r w:rsidRPr="008929BB">
        <w:rPr>
          <w:rFonts w:ascii="Arial" w:hAnsi="Arial" w:cs="Arial"/>
          <w:b w:val="0"/>
          <w:bCs w:val="0"/>
          <w:sz w:val="22"/>
        </w:rPr>
        <w:t>unicompartmental knee arthroplasty</w:t>
      </w:r>
      <w:r>
        <w:rPr>
          <w:rFonts w:ascii="Arial" w:hAnsi="Arial" w:cs="Arial"/>
          <w:b w:val="0"/>
          <w:bCs w:val="0"/>
          <w:sz w:val="22"/>
        </w:rPr>
        <w:t>)</w:t>
      </w:r>
      <w:r w:rsidRPr="008929BB">
        <w:rPr>
          <w:rFonts w:ascii="Arial" w:hAnsi="Arial" w:cs="Arial"/>
          <w:b w:val="0"/>
          <w:bCs w:val="0"/>
          <w:sz w:val="22"/>
        </w:rPr>
        <w:t xml:space="preserve"> (</w:t>
      </w:r>
      <w:hyperlink r:id="rId23" w:history="1">
        <w:r w:rsidRPr="00375462">
          <w:rPr>
            <w:rStyle w:val="Hyperlink"/>
            <w:rFonts w:ascii="Arial" w:hAnsi="Arial" w:cs="Arial"/>
            <w:b w:val="0"/>
            <w:bCs w:val="0"/>
            <w:sz w:val="22"/>
          </w:rPr>
          <w:t xml:space="preserve">see </w:t>
        </w:r>
        <w:r>
          <w:rPr>
            <w:rStyle w:val="Hyperlink"/>
            <w:rFonts w:ascii="Arial" w:hAnsi="Arial" w:cs="Arial"/>
            <w:b w:val="0"/>
            <w:bCs w:val="0"/>
            <w:sz w:val="22"/>
          </w:rPr>
          <w:t>t</w:t>
        </w:r>
        <w:r w:rsidRPr="00375462">
          <w:rPr>
            <w:rStyle w:val="Hyperlink"/>
            <w:rFonts w:ascii="Arial" w:hAnsi="Arial" w:cs="Arial"/>
            <w:b w:val="0"/>
            <w:bCs w:val="0"/>
            <w:sz w:val="22"/>
          </w:rPr>
          <w:t xml:space="preserve">echnique </w:t>
        </w:r>
        <w:r>
          <w:rPr>
            <w:rStyle w:val="Hyperlink"/>
            <w:rFonts w:ascii="Arial" w:hAnsi="Arial" w:cs="Arial"/>
            <w:b w:val="0"/>
            <w:bCs w:val="0"/>
            <w:sz w:val="22"/>
          </w:rPr>
          <w:t>v</w:t>
        </w:r>
        <w:r w:rsidRPr="00375462">
          <w:rPr>
            <w:rStyle w:val="Hyperlink"/>
            <w:rFonts w:ascii="Arial" w:hAnsi="Arial" w:cs="Arial"/>
            <w:b w:val="0"/>
            <w:bCs w:val="0"/>
            <w:sz w:val="22"/>
          </w:rPr>
          <w:t xml:space="preserve">ignette by </w:t>
        </w:r>
        <w:r w:rsidRPr="00375462">
          <w:rPr>
            <w:rStyle w:val="Hyperlink"/>
            <w:rFonts w:ascii="Arial" w:hAnsi="Arial" w:cs="Arial"/>
            <w:b w:val="0"/>
            <w:bCs w:val="0"/>
            <w:sz w:val="22"/>
          </w:rPr>
          <w:lastRenderedPageBreak/>
          <w:t>Dr. Dennis McGee)</w:t>
        </w:r>
      </w:hyperlink>
      <w:r w:rsidRPr="008929BB">
        <w:rPr>
          <w:rFonts w:ascii="Arial" w:hAnsi="Arial" w:cs="Arial"/>
          <w:b w:val="0"/>
          <w:bCs w:val="0"/>
          <w:sz w:val="22"/>
        </w:rPr>
        <w:t xml:space="preserve"> .  It is extremely difficult to gain access to the posterior femoral bone cuts </w:t>
      </w:r>
      <w:r>
        <w:rPr>
          <w:rFonts w:ascii="Arial" w:hAnsi="Arial" w:cs="Arial"/>
          <w:b w:val="0"/>
          <w:bCs w:val="0"/>
          <w:sz w:val="22"/>
        </w:rPr>
        <w:t xml:space="preserve">in </w:t>
      </w:r>
      <w:r w:rsidRPr="008929BB">
        <w:rPr>
          <w:rFonts w:ascii="Arial" w:hAnsi="Arial" w:cs="Arial"/>
          <w:b w:val="0"/>
          <w:bCs w:val="0"/>
          <w:sz w:val="22"/>
        </w:rPr>
        <w:t xml:space="preserve">TKA, and particularly UKA with its small incision, for adequate cleaning and drying of the bone bed using saline </w:t>
      </w:r>
      <w:r>
        <w:rPr>
          <w:rFonts w:ascii="Arial" w:hAnsi="Arial" w:cs="Arial"/>
          <w:b w:val="0"/>
          <w:bCs w:val="0"/>
          <w:sz w:val="22"/>
        </w:rPr>
        <w:t>methods</w:t>
      </w:r>
      <w:r w:rsidRPr="008929BB">
        <w:rPr>
          <w:rFonts w:ascii="Arial" w:hAnsi="Arial" w:cs="Arial"/>
          <w:b w:val="0"/>
          <w:bCs w:val="0"/>
          <w:sz w:val="22"/>
        </w:rPr>
        <w:t>.</w:t>
      </w:r>
      <w:r>
        <w:rPr>
          <w:rFonts w:ascii="Arial" w:hAnsi="Arial" w:cs="Arial"/>
          <w:b w:val="0"/>
          <w:bCs w:val="0"/>
          <w:sz w:val="22"/>
        </w:rPr>
        <w:t xml:space="preserve">  </w:t>
      </w:r>
    </w:p>
    <w:p w14:paraId="39A57B82" w14:textId="77777777" w:rsidR="00402F94" w:rsidRDefault="00402F94" w:rsidP="00402F94">
      <w:pPr>
        <w:numPr>
          <w:ilvl w:val="0"/>
          <w:numId w:val="4"/>
        </w:numPr>
        <w:spacing w:before="100" w:beforeAutospacing="1"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demonstrated </w:t>
      </w:r>
      <w:r w:rsidRPr="000C0AD5">
        <w:rPr>
          <w:rFonts w:ascii="Arial" w:hAnsi="Arial"/>
          <w:sz w:val="22"/>
          <w:u w:val="single"/>
        </w:rPr>
        <w:t>decrease in large intraoperative cardiac emboli</w:t>
      </w:r>
      <w:r w:rsidRPr="000C0AD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as evidenced by reduced cardiac echogenic load </w:t>
      </w:r>
      <w:r w:rsidRPr="00CF2621">
        <w:rPr>
          <w:rFonts w:ascii="Arial" w:hAnsi="Arial"/>
          <w:i/>
          <w:sz w:val="22"/>
        </w:rPr>
        <w:t>(</w:t>
      </w:r>
      <w:hyperlink r:id="rId24" w:history="1">
        <w:r w:rsidRPr="00375462">
          <w:rPr>
            <w:rStyle w:val="Hyperlink"/>
            <w:rFonts w:ascii="Arial" w:hAnsi="Arial"/>
            <w:i/>
            <w:sz w:val="22"/>
          </w:rPr>
          <w:t>see study by Lassiter et al</w:t>
        </w:r>
      </w:hyperlink>
      <w:r w:rsidRPr="00CF2621">
        <w:rPr>
          <w:rFonts w:ascii="Arial" w:hAnsi="Arial"/>
          <w:i/>
          <w:sz w:val="22"/>
        </w:rPr>
        <w:t>).</w:t>
      </w:r>
      <w:r>
        <w:rPr>
          <w:rFonts w:ascii="Arial" w:hAnsi="Arial"/>
          <w:sz w:val="22"/>
        </w:rPr>
        <w:t xml:space="preserve">  The embolization of fat and marrow contents into the vascular tree is a very serious issue that demands our best efforts to mitigate.</w:t>
      </w:r>
    </w:p>
    <w:p w14:paraId="1C7FEF9D" w14:textId="77777777" w:rsidR="00402F94" w:rsidRDefault="00402F94" w:rsidP="00402F94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6C3F79">
        <w:rPr>
          <w:rFonts w:ascii="Arial" w:hAnsi="Arial"/>
        </w:rPr>
        <w:t xml:space="preserve">A demonstrated </w:t>
      </w:r>
      <w:r>
        <w:rPr>
          <w:rFonts w:ascii="Arial" w:hAnsi="Arial"/>
        </w:rPr>
        <w:t xml:space="preserve">improvement in the removal </w:t>
      </w:r>
      <w:r w:rsidRPr="006C3F79">
        <w:rPr>
          <w:rFonts w:ascii="Arial" w:hAnsi="Arial"/>
        </w:rPr>
        <w:t xml:space="preserve">of </w:t>
      </w:r>
      <w:r w:rsidRPr="006C3F79">
        <w:rPr>
          <w:rFonts w:ascii="Arial" w:eastAsia="Times New Roman" w:hAnsi="Arial"/>
          <w:szCs w:val="24"/>
        </w:rPr>
        <w:t xml:space="preserve">immunogenic </w:t>
      </w:r>
      <w:r>
        <w:rPr>
          <w:rFonts w:ascii="Arial" w:eastAsia="Times New Roman" w:hAnsi="Arial"/>
          <w:szCs w:val="24"/>
        </w:rPr>
        <w:t>e</w:t>
      </w:r>
      <w:r w:rsidRPr="006C3F79">
        <w:rPr>
          <w:rFonts w:ascii="Arial" w:eastAsia="Times New Roman" w:hAnsi="Arial"/>
          <w:szCs w:val="24"/>
        </w:rPr>
        <w:t>lements from Osteochondral Allografts (OCA) (</w:t>
      </w:r>
      <w:hyperlink r:id="rId25" w:history="1">
        <w:r w:rsidRPr="00D73343">
          <w:rPr>
            <w:rStyle w:val="Hyperlink"/>
            <w:rFonts w:ascii="Arial" w:eastAsia="Times New Roman" w:hAnsi="Arial"/>
            <w:i/>
            <w:szCs w:val="24"/>
          </w:rPr>
          <w:t>see study by Cole et al</w:t>
        </w:r>
      </w:hyperlink>
      <w:r w:rsidRPr="006C3F79">
        <w:rPr>
          <w:rFonts w:ascii="Arial" w:eastAsia="Times New Roman" w:hAnsi="Arial"/>
          <w:szCs w:val="24"/>
        </w:rPr>
        <w:t xml:space="preserve">).  Given that postoperative antibody development may impact graft integrity and longevity in </w:t>
      </w:r>
      <w:r>
        <w:rPr>
          <w:rFonts w:ascii="Arial" w:eastAsia="Times New Roman" w:hAnsi="Arial"/>
          <w:szCs w:val="24"/>
        </w:rPr>
        <w:t>OCA surgery,</w:t>
      </w:r>
      <w:r w:rsidRPr="006C3F79">
        <w:rPr>
          <w:rFonts w:ascii="Arial" w:eastAsia="Times New Roman" w:hAnsi="Arial"/>
          <w:szCs w:val="24"/>
        </w:rPr>
        <w:t xml:space="preserve"> there is tremendous</w:t>
      </w:r>
      <w:r>
        <w:rPr>
          <w:rFonts w:ascii="Arial" w:eastAsia="Times New Roman" w:hAnsi="Arial"/>
          <w:szCs w:val="24"/>
        </w:rPr>
        <w:t xml:space="preserve"> </w:t>
      </w:r>
      <w:r w:rsidRPr="006C3F79">
        <w:rPr>
          <w:rFonts w:ascii="Arial" w:eastAsia="Times New Roman" w:hAnsi="Arial"/>
          <w:szCs w:val="24"/>
        </w:rPr>
        <w:t>interest in decreasing the amount of antigenic cellular material present in osteochondral allografts</w:t>
      </w:r>
      <w:r>
        <w:rPr>
          <w:rFonts w:ascii="Arial" w:eastAsia="Times New Roman" w:hAnsi="Arial"/>
          <w:szCs w:val="24"/>
        </w:rPr>
        <w:t>.</w:t>
      </w:r>
    </w:p>
    <w:p w14:paraId="39552195" w14:textId="112B0A59" w:rsidR="007E2124" w:rsidRDefault="00B827DF" w:rsidP="005A56A7">
      <w:pPr>
        <w:spacing w:before="100" w:beforeAutospacing="1" w:after="100" w:afterAutospacing="1"/>
        <w:jc w:val="both"/>
        <w:rPr>
          <w:rFonts w:ascii="Arial" w:hAnsi="Arial"/>
          <w:sz w:val="22"/>
        </w:rPr>
      </w:pPr>
      <w:bookmarkStart w:id="0" w:name="_GoBack"/>
      <w:bookmarkEnd w:id="0"/>
      <w:r w:rsidRPr="00B827DF">
        <w:rPr>
          <w:rFonts w:ascii="Arial" w:hAnsi="Arial"/>
          <w:sz w:val="22"/>
        </w:rPr>
        <w:t xml:space="preserve">In summary, by addressing these important issues, </w:t>
      </w:r>
      <w:r w:rsidRPr="0090609A">
        <w:rPr>
          <w:rFonts w:ascii="Arial" w:hAnsi="Arial"/>
          <w:i/>
          <w:sz w:val="22"/>
        </w:rPr>
        <w:t>CarboJet</w:t>
      </w:r>
      <w:r w:rsidRPr="00B827DF">
        <w:rPr>
          <w:rFonts w:ascii="Arial" w:hAnsi="Arial"/>
          <w:sz w:val="22"/>
        </w:rPr>
        <w:t xml:space="preserve"> contributes to </w:t>
      </w:r>
      <w:r w:rsidR="00402F94">
        <w:rPr>
          <w:rFonts w:ascii="Arial" w:hAnsi="Arial"/>
          <w:sz w:val="22"/>
        </w:rPr>
        <w:t>our shared</w:t>
      </w:r>
      <w:r w:rsidRPr="00B827DF">
        <w:rPr>
          <w:rFonts w:ascii="Arial" w:hAnsi="Arial"/>
          <w:sz w:val="22"/>
        </w:rPr>
        <w:t xml:space="preserve"> mission to provide the hi</w:t>
      </w:r>
      <w:r>
        <w:rPr>
          <w:rFonts w:ascii="Arial" w:hAnsi="Arial"/>
          <w:sz w:val="22"/>
        </w:rPr>
        <w:t>ghest standard of patient care.</w:t>
      </w:r>
      <w:r w:rsidR="007E2124">
        <w:rPr>
          <w:rFonts w:ascii="Arial" w:hAnsi="Arial"/>
          <w:sz w:val="22"/>
        </w:rPr>
        <w:t xml:space="preserve">  Pl</w:t>
      </w:r>
      <w:r w:rsidR="00173E04">
        <w:rPr>
          <w:rFonts w:ascii="Arial" w:hAnsi="Arial"/>
          <w:sz w:val="22"/>
        </w:rPr>
        <w:t>ease let me know when</w:t>
      </w:r>
      <w:r w:rsidR="007E2124">
        <w:rPr>
          <w:rFonts w:ascii="Arial" w:hAnsi="Arial"/>
          <w:sz w:val="22"/>
        </w:rPr>
        <w:t xml:space="preserve"> this product </w:t>
      </w:r>
      <w:r w:rsidR="00173E04">
        <w:rPr>
          <w:rFonts w:ascii="Arial" w:hAnsi="Arial"/>
          <w:sz w:val="22"/>
        </w:rPr>
        <w:t xml:space="preserve">will be </w:t>
      </w:r>
      <w:r w:rsidR="007E2124">
        <w:rPr>
          <w:rFonts w:ascii="Arial" w:hAnsi="Arial"/>
          <w:sz w:val="22"/>
        </w:rPr>
        <w:t xml:space="preserve">available </w:t>
      </w:r>
      <w:r>
        <w:rPr>
          <w:rFonts w:ascii="Arial" w:hAnsi="Arial"/>
          <w:sz w:val="22"/>
        </w:rPr>
        <w:t>for my use</w:t>
      </w:r>
      <w:r w:rsidR="00173E04">
        <w:rPr>
          <w:rFonts w:ascii="Arial" w:hAnsi="Arial"/>
          <w:sz w:val="22"/>
        </w:rPr>
        <w:t>.</w:t>
      </w:r>
    </w:p>
    <w:p w14:paraId="11F61611" w14:textId="77777777" w:rsidR="007E2124" w:rsidRDefault="00173E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Sincerely,</w:t>
      </w:r>
    </w:p>
    <w:p w14:paraId="28B941D9" w14:textId="77777777" w:rsidR="00173E04" w:rsidRDefault="00173E04">
      <w:pPr>
        <w:rPr>
          <w:rFonts w:ascii="Arial" w:hAnsi="Arial"/>
          <w:sz w:val="22"/>
        </w:rPr>
      </w:pPr>
    </w:p>
    <w:p w14:paraId="661FFA18" w14:textId="77777777" w:rsidR="00173E04" w:rsidRDefault="00173E04">
      <w:pPr>
        <w:rPr>
          <w:rFonts w:ascii="Arial" w:hAnsi="Arial"/>
          <w:sz w:val="22"/>
        </w:rPr>
      </w:pPr>
    </w:p>
    <w:p w14:paraId="73CA69DF" w14:textId="0A0C408E" w:rsidR="007E2124" w:rsidRDefault="007E2124">
      <w:r w:rsidRPr="00485A17">
        <w:t>________</w:t>
      </w:r>
      <w:r w:rsidR="00485A17">
        <w:t>__</w:t>
      </w:r>
      <w:r w:rsidRPr="00485A17">
        <w:t>_______, MD</w:t>
      </w:r>
      <w:r w:rsidRPr="00485A17">
        <w:tab/>
        <w:t>___</w:t>
      </w:r>
      <w:r w:rsidR="00485A17">
        <w:t>___</w:t>
      </w:r>
      <w:r w:rsidRPr="00485A17">
        <w:t>____________, MD</w:t>
      </w:r>
      <w:r w:rsidRPr="00485A17">
        <w:tab/>
        <w:t>_________</w:t>
      </w:r>
      <w:r w:rsidR="00485A17">
        <w:t>__</w:t>
      </w:r>
      <w:r w:rsidRPr="00485A17">
        <w:t>______, MD</w:t>
      </w:r>
    </w:p>
    <w:sectPr w:rsidR="007E2124" w:rsidSect="004A4D56">
      <w:pgSz w:w="12240" w:h="15840"/>
      <w:pgMar w:top="158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421C0" w14:textId="77777777" w:rsidR="005B659D" w:rsidRDefault="005B659D" w:rsidP="00682DE0">
      <w:r>
        <w:separator/>
      </w:r>
    </w:p>
  </w:endnote>
  <w:endnote w:type="continuationSeparator" w:id="0">
    <w:p w14:paraId="3A718425" w14:textId="77777777" w:rsidR="005B659D" w:rsidRDefault="005B659D" w:rsidP="0068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DC43E" w14:textId="77777777" w:rsidR="005B659D" w:rsidRDefault="005B659D" w:rsidP="00682DE0">
      <w:r>
        <w:separator/>
      </w:r>
    </w:p>
  </w:footnote>
  <w:footnote w:type="continuationSeparator" w:id="0">
    <w:p w14:paraId="750FCF5A" w14:textId="77777777" w:rsidR="005B659D" w:rsidRDefault="005B659D" w:rsidP="0068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38BD"/>
    <w:multiLevelType w:val="hybridMultilevel"/>
    <w:tmpl w:val="BE8CA662"/>
    <w:lvl w:ilvl="0" w:tplc="60366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39F9"/>
    <w:multiLevelType w:val="hybridMultilevel"/>
    <w:tmpl w:val="DBD41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366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1378"/>
    <w:multiLevelType w:val="hybridMultilevel"/>
    <w:tmpl w:val="1D92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C6E61"/>
    <w:multiLevelType w:val="hybridMultilevel"/>
    <w:tmpl w:val="019AD63E"/>
    <w:lvl w:ilvl="0" w:tplc="60366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B290B8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21"/>
    <w:rsid w:val="00000202"/>
    <w:rsid w:val="00036775"/>
    <w:rsid w:val="000B3019"/>
    <w:rsid w:val="000C0AD5"/>
    <w:rsid w:val="00147BEF"/>
    <w:rsid w:val="00173E04"/>
    <w:rsid w:val="001911F5"/>
    <w:rsid w:val="00282658"/>
    <w:rsid w:val="0031517E"/>
    <w:rsid w:val="00375462"/>
    <w:rsid w:val="003D12DA"/>
    <w:rsid w:val="003E067D"/>
    <w:rsid w:val="00402F94"/>
    <w:rsid w:val="00485A17"/>
    <w:rsid w:val="004924D8"/>
    <w:rsid w:val="004A0A92"/>
    <w:rsid w:val="004A4D56"/>
    <w:rsid w:val="004E1FBC"/>
    <w:rsid w:val="004F3220"/>
    <w:rsid w:val="004F7FA1"/>
    <w:rsid w:val="0050036C"/>
    <w:rsid w:val="00535771"/>
    <w:rsid w:val="00542764"/>
    <w:rsid w:val="0054369A"/>
    <w:rsid w:val="005A56A7"/>
    <w:rsid w:val="005B659D"/>
    <w:rsid w:val="005D0B63"/>
    <w:rsid w:val="00660F4A"/>
    <w:rsid w:val="00677A0D"/>
    <w:rsid w:val="00682DE0"/>
    <w:rsid w:val="006842C7"/>
    <w:rsid w:val="006C3F79"/>
    <w:rsid w:val="00725C24"/>
    <w:rsid w:val="007B336E"/>
    <w:rsid w:val="007E2124"/>
    <w:rsid w:val="007F325C"/>
    <w:rsid w:val="008827B8"/>
    <w:rsid w:val="008929BB"/>
    <w:rsid w:val="0090609A"/>
    <w:rsid w:val="00921B22"/>
    <w:rsid w:val="009467C5"/>
    <w:rsid w:val="00960FAA"/>
    <w:rsid w:val="00993BC5"/>
    <w:rsid w:val="009B7D27"/>
    <w:rsid w:val="00A24EFF"/>
    <w:rsid w:val="00AF0D9C"/>
    <w:rsid w:val="00B61539"/>
    <w:rsid w:val="00B827DF"/>
    <w:rsid w:val="00B905CD"/>
    <w:rsid w:val="00BF3011"/>
    <w:rsid w:val="00C67269"/>
    <w:rsid w:val="00CF2621"/>
    <w:rsid w:val="00D14F53"/>
    <w:rsid w:val="00D774E6"/>
    <w:rsid w:val="00DD6E9C"/>
    <w:rsid w:val="00DD6FE9"/>
    <w:rsid w:val="00E40CAC"/>
    <w:rsid w:val="00E42A0E"/>
    <w:rsid w:val="00F00310"/>
    <w:rsid w:val="00F050F0"/>
    <w:rsid w:val="00F66AB3"/>
    <w:rsid w:val="00F742E6"/>
    <w:rsid w:val="00F8500B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91698CC"/>
  <w15:docId w15:val="{010A3D0A-3861-4FA2-A51A-5645B4F8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3B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929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9BB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5D0B63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7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B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B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B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82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D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2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D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089">
          <w:marLeft w:val="3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4684">
              <w:blockQuote w:val="1"/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rthroplasty.com/article/S1045-4527(11)00090-3/abstract" TargetMode="External"/><Relationship Id="rId13" Type="http://schemas.openxmlformats.org/officeDocument/2006/relationships/hyperlink" Target="https://www.ncbi.nlm.nih.gov/pmc/articles/PMC4258487/" TargetMode="External"/><Relationship Id="rId18" Type="http://schemas.openxmlformats.org/officeDocument/2006/relationships/hyperlink" Target="http://www.kinamed.com/wordpress/wp-content/uploads/CarboJet_and_Asceptic_Loosening_White_Paper_B00240A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246959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26100254" TargetMode="External"/><Relationship Id="rId17" Type="http://schemas.openxmlformats.org/officeDocument/2006/relationships/hyperlink" Target="http://www.ncbi.nlm.nih.gov/pubmed/23954423" TargetMode="External"/><Relationship Id="rId25" Type="http://schemas.openxmlformats.org/officeDocument/2006/relationships/hyperlink" Target="https://www.kinamed.com/wordpress/wp-content/uploads/Cole_-_Effectiveness_of_cleaning_techniques_for_OCA-Cartilage-201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inamed.com/wordpress/wp-content/uploads/Goldstein-Improvement_of_Cement_Mantle_with_CO2_Lavage.pdf" TargetMode="External"/><Relationship Id="rId20" Type="http://schemas.openxmlformats.org/officeDocument/2006/relationships/hyperlink" Target="https://www.ncbi.nlm.nih.gov/pubmed/155345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mc/articles/PMC4105775/pdf/ORT-85-422.pdf" TargetMode="External"/><Relationship Id="rId24" Type="http://schemas.openxmlformats.org/officeDocument/2006/relationships/hyperlink" Target="http://www.kinamed.com/pdf/DukeCarboJetStudy_200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throplastyjournal.org/article/S0883-5403(19)30306-7/fulltext" TargetMode="External"/><Relationship Id="rId23" Type="http://schemas.openxmlformats.org/officeDocument/2006/relationships/hyperlink" Target="http://www.kinamed.com/wordpress/wp-content/uploads/B00212B_Kinamed_CaseVignette_DennisMcGee.pdf" TargetMode="External"/><Relationship Id="rId10" Type="http://schemas.openxmlformats.org/officeDocument/2006/relationships/hyperlink" Target="http://www.kinamed.com/wordpress/wp-content/uploads/Meneghini-2018-AAOS-Abstract.pdf" TargetMode="External"/><Relationship Id="rId19" Type="http://schemas.openxmlformats.org/officeDocument/2006/relationships/hyperlink" Target="https://www.ncbi.nlm.nih.gov/pubmed/23886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throplastyjournal.org/article/S0883-5403(18)30608-9/fulltext" TargetMode="External"/><Relationship Id="rId14" Type="http://schemas.openxmlformats.org/officeDocument/2006/relationships/hyperlink" Target="https://www.arthroplastyjournal.org/article/S0883-5403(19)30306-7/fulltext" TargetMode="External"/><Relationship Id="rId22" Type="http://schemas.openxmlformats.org/officeDocument/2006/relationships/hyperlink" Target="http://www.ncbi.nlm.nih.gov/pubmed/2067239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DF35-53C9-4AB1-B37A-7509DB5E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29, 2008</vt:lpstr>
    </vt:vector>
  </TitlesOfParts>
  <Company>Microsoft</Company>
  <LinksUpToDate>false</LinksUpToDate>
  <CharactersWithSpaces>5662</CharactersWithSpaces>
  <SharedDoc>false</SharedDoc>
  <HLinks>
    <vt:vector size="60" baseType="variant">
      <vt:variant>
        <vt:i4>5374031</vt:i4>
      </vt:variant>
      <vt:variant>
        <vt:i4>30</vt:i4>
      </vt:variant>
      <vt:variant>
        <vt:i4>0</vt:i4>
      </vt:variant>
      <vt:variant>
        <vt:i4>5</vt:i4>
      </vt:variant>
      <vt:variant>
        <vt:lpwstr>http://www.semarthroplasty.com/article/S1045-4527(11)00090-3/abstract</vt:lpwstr>
      </vt:variant>
      <vt:variant>
        <vt:lpwstr/>
      </vt:variant>
      <vt:variant>
        <vt:i4>1835043</vt:i4>
      </vt:variant>
      <vt:variant>
        <vt:i4>27</vt:i4>
      </vt:variant>
      <vt:variant>
        <vt:i4>0</vt:i4>
      </vt:variant>
      <vt:variant>
        <vt:i4>5</vt:i4>
      </vt:variant>
      <vt:variant>
        <vt:lpwstr>http://www.kinamed.com/pdf/DukeCarboJetStudy_2009.pdf</vt:lpwstr>
      </vt:variant>
      <vt:variant>
        <vt:lpwstr/>
      </vt:variant>
      <vt:variant>
        <vt:i4>4915303</vt:i4>
      </vt:variant>
      <vt:variant>
        <vt:i4>24</vt:i4>
      </vt:variant>
      <vt:variant>
        <vt:i4>0</vt:i4>
      </vt:variant>
      <vt:variant>
        <vt:i4>5</vt:i4>
      </vt:variant>
      <vt:variant>
        <vt:lpwstr>http://www.kinamed.com/wordpress/wp-content/uploads/B00212B_Kinamed_CaseVignette_DennisMcGee.pdf</vt:lpwstr>
      </vt:variant>
      <vt:variant>
        <vt:lpwstr/>
      </vt:variant>
      <vt:variant>
        <vt:i4>4128802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http://www.ncbi.nlm.nih.gov/pubmed/20672396</vt:lpwstr>
      </vt:variant>
      <vt:variant>
        <vt:lpwstr/>
      </vt:variant>
      <vt:variant>
        <vt:i4>3145762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http://www.ncbi.nlm.nih.gov/pubmed/24695919</vt:lpwstr>
      </vt:variant>
      <vt:variant>
        <vt:lpwstr/>
      </vt:variant>
      <vt:variant>
        <vt:i4>3276837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http://www.ncbi.nlm.nih.gov/pubmed/15534527</vt:lpwstr>
      </vt:variant>
      <vt:variant>
        <vt:lpwstr/>
      </vt:variant>
      <vt:variant>
        <vt:i4>3997737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http://www.ncbi.nlm.nih.gov/pubmed/23886410</vt:lpwstr>
      </vt:variant>
      <vt:variant>
        <vt:lpwstr/>
      </vt:variant>
      <vt:variant>
        <vt:i4>3997732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http://www.ncbi.nlm.nih.gov/pubmed/23954423</vt:lpwstr>
      </vt:variant>
      <vt:variant>
        <vt:lpwstr/>
      </vt:variant>
      <vt:variant>
        <vt:i4>3997732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http://www.ncbi.nlm.nih.gov/pubmed/23954423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http://www.kinamed.com/wordpress/wp-content/uploads/Goldstein-Improvement_of_Cement_Mantle_with_CO2_Lavage.pdf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29, 2008</dc:title>
  <dc:creator>Patrick Miller</dc:creator>
  <cp:lastModifiedBy>Patrick Miller</cp:lastModifiedBy>
  <cp:revision>2</cp:revision>
  <cp:lastPrinted>2008-07-29T22:51:00Z</cp:lastPrinted>
  <dcterms:created xsi:type="dcterms:W3CDTF">2019-04-23T22:27:00Z</dcterms:created>
  <dcterms:modified xsi:type="dcterms:W3CDTF">2019-04-23T22:27:00Z</dcterms:modified>
</cp:coreProperties>
</file>